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204F" w14:textId="556907BC" w:rsidR="00D74990" w:rsidRDefault="00A73580" w:rsidP="00454785">
      <w:pPr>
        <w:pStyle w:val="Title"/>
        <w:spacing w:line="357" w:lineRule="auto"/>
        <w:ind w:hanging="982"/>
      </w:pPr>
      <w:r>
        <w:rPr>
          <w:noProof/>
        </w:rPr>
        <w:drawing>
          <wp:anchor distT="0" distB="0" distL="0" distR="0" simplePos="0" relativeHeight="15729152" behindDoc="0" locked="0" layoutInCell="1" allowOverlap="1" wp14:anchorId="1A00924A" wp14:editId="4A397A31">
            <wp:simplePos x="0" y="0"/>
            <wp:positionH relativeFrom="page">
              <wp:posOffset>775970</wp:posOffset>
            </wp:positionH>
            <wp:positionV relativeFrom="paragraph">
              <wp:posOffset>-472440</wp:posOffset>
            </wp:positionV>
            <wp:extent cx="1062338" cy="11289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62338" cy="1128920"/>
                    </a:xfrm>
                    <a:prstGeom prst="rect">
                      <a:avLst/>
                    </a:prstGeom>
                  </pic:spPr>
                </pic:pic>
              </a:graphicData>
            </a:graphic>
          </wp:anchor>
        </w:drawing>
      </w:r>
      <w:r>
        <w:t>SHIRE</w:t>
      </w:r>
      <w:r>
        <w:rPr>
          <w:spacing w:val="-13"/>
        </w:rPr>
        <w:t xml:space="preserve"> </w:t>
      </w:r>
      <w:r>
        <w:t>OF</w:t>
      </w:r>
      <w:r>
        <w:rPr>
          <w:spacing w:val="-11"/>
        </w:rPr>
        <w:t xml:space="preserve"> </w:t>
      </w:r>
      <w:r>
        <w:t>HALLS</w:t>
      </w:r>
      <w:r>
        <w:rPr>
          <w:spacing w:val="-11"/>
        </w:rPr>
        <w:t xml:space="preserve"> </w:t>
      </w:r>
      <w:r>
        <w:t xml:space="preserve">CREEK </w:t>
      </w:r>
    </w:p>
    <w:p w14:paraId="3B66F3A2" w14:textId="6E99319B" w:rsidR="00B67EA0" w:rsidRDefault="00B67EA0" w:rsidP="00B67EA0">
      <w:pPr>
        <w:spacing w:line="259" w:lineRule="auto"/>
        <w:ind w:left="2578" w:right="5" w:hanging="2154"/>
        <w:jc w:val="center"/>
        <w:rPr>
          <w:b/>
          <w:sz w:val="28"/>
        </w:rPr>
      </w:pPr>
      <w:r>
        <w:rPr>
          <w:b/>
          <w:sz w:val="28"/>
        </w:rPr>
        <w:t>OBJECTS AND REASONS</w:t>
      </w:r>
    </w:p>
    <w:p w14:paraId="5E5EFAC8" w14:textId="77777777" w:rsidR="00B67EA0" w:rsidRDefault="00B67EA0" w:rsidP="00B67EA0">
      <w:pPr>
        <w:spacing w:line="259" w:lineRule="auto"/>
        <w:ind w:left="2578" w:right="5" w:hanging="2154"/>
        <w:jc w:val="center"/>
        <w:rPr>
          <w:b/>
          <w:sz w:val="28"/>
        </w:rPr>
      </w:pPr>
    </w:p>
    <w:p w14:paraId="39387CC7" w14:textId="260BE18A" w:rsidR="00D74990" w:rsidRDefault="00A73580" w:rsidP="00B67EA0">
      <w:pPr>
        <w:spacing w:line="259" w:lineRule="auto"/>
        <w:ind w:left="284" w:right="5"/>
        <w:jc w:val="center"/>
        <w:rPr>
          <w:b/>
          <w:sz w:val="28"/>
        </w:rPr>
      </w:pPr>
      <w:r>
        <w:rPr>
          <w:b/>
          <w:sz w:val="28"/>
        </w:rPr>
        <w:t>DIFFERENTIAL</w:t>
      </w:r>
      <w:r>
        <w:rPr>
          <w:b/>
          <w:spacing w:val="-6"/>
          <w:sz w:val="28"/>
        </w:rPr>
        <w:t xml:space="preserve"> </w:t>
      </w:r>
      <w:r w:rsidR="00B67EA0">
        <w:rPr>
          <w:b/>
          <w:spacing w:val="-6"/>
          <w:sz w:val="28"/>
        </w:rPr>
        <w:t xml:space="preserve">GENERAL </w:t>
      </w:r>
      <w:r>
        <w:rPr>
          <w:b/>
          <w:sz w:val="28"/>
        </w:rPr>
        <w:t>RATES</w:t>
      </w:r>
      <w:r>
        <w:rPr>
          <w:b/>
          <w:spacing w:val="-4"/>
          <w:sz w:val="28"/>
        </w:rPr>
        <w:t xml:space="preserve"> </w:t>
      </w:r>
      <w:r>
        <w:rPr>
          <w:b/>
          <w:sz w:val="28"/>
        </w:rPr>
        <w:t>2024/2025 FINANCIAL YEAR</w:t>
      </w:r>
    </w:p>
    <w:p w14:paraId="303B0498" w14:textId="10B9C08F" w:rsidR="00B67EA0" w:rsidRDefault="00B67EA0" w:rsidP="00B67EA0">
      <w:pPr>
        <w:pStyle w:val="BodyText"/>
        <w:spacing w:before="160" w:line="259" w:lineRule="auto"/>
        <w:ind w:left="360" w:right="5"/>
      </w:pPr>
      <w:r>
        <w:t>The Shire of Halls Creek provides facilities and services to residents and visitors to the Shire. The revenue collected through rates makes up the short fall between the cost of these services and the income received from other sources.</w:t>
      </w:r>
    </w:p>
    <w:p w14:paraId="4717BA74" w14:textId="5AD0161F" w:rsidR="00D74990" w:rsidRDefault="00B67EA0" w:rsidP="00B67EA0">
      <w:pPr>
        <w:pStyle w:val="BodyText"/>
        <w:spacing w:before="160" w:line="259" w:lineRule="auto"/>
        <w:ind w:left="360" w:right="5"/>
      </w:pPr>
      <w:r>
        <w:t xml:space="preserve">In considering </w:t>
      </w:r>
      <w:r w:rsidR="004A37B4">
        <w:t xml:space="preserve">available </w:t>
      </w:r>
      <w:r>
        <w:t xml:space="preserve">rating </w:t>
      </w:r>
      <w:r w:rsidR="004A37B4">
        <w:t>options,</w:t>
      </w:r>
      <w:r>
        <w:t xml:space="preserve"> including differential rates and minimum payments, the Shire has applied</w:t>
      </w:r>
      <w:r w:rsidR="004A37B4">
        <w:t xml:space="preserve"> the</w:t>
      </w:r>
      <w:r>
        <w:t xml:space="preserve"> principles of rating which includes fairness and equity, consistency, transparency, and administrative efficiency to determine the level and structure of rates levied.</w:t>
      </w:r>
    </w:p>
    <w:p w14:paraId="00AD0838" w14:textId="1B378941" w:rsidR="00B67EA0" w:rsidRDefault="00B67EA0" w:rsidP="00B67EA0">
      <w:pPr>
        <w:pStyle w:val="BodyText"/>
        <w:spacing w:before="160" w:line="259" w:lineRule="auto"/>
        <w:ind w:left="360" w:right="5"/>
      </w:pPr>
      <w:r>
        <w:t xml:space="preserve">The table below </w:t>
      </w:r>
      <w:proofErr w:type="spellStart"/>
      <w:r>
        <w:t>summarises</w:t>
      </w:r>
      <w:proofErr w:type="spellEnd"/>
      <w:r>
        <w:t xml:space="preserve"> the rating structure proposed for 2024/25: </w:t>
      </w:r>
    </w:p>
    <w:p w14:paraId="7458DE03" w14:textId="77777777" w:rsidR="00D74990" w:rsidRDefault="00D74990">
      <w:pPr>
        <w:pStyle w:val="BodyText"/>
        <w:rPr>
          <w:sz w:val="13"/>
        </w:rPr>
      </w:pPr>
    </w:p>
    <w:tbl>
      <w:tblPr>
        <w:tblW w:w="926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4"/>
        <w:gridCol w:w="2835"/>
        <w:gridCol w:w="2410"/>
        <w:gridCol w:w="2126"/>
      </w:tblGrid>
      <w:tr w:rsidR="00B67EA0" w14:paraId="27087E95" w14:textId="77777777" w:rsidTr="008A41CD">
        <w:trPr>
          <w:trHeight w:val="292"/>
        </w:trPr>
        <w:tc>
          <w:tcPr>
            <w:tcW w:w="1894" w:type="dxa"/>
          </w:tcPr>
          <w:p w14:paraId="59C311CA" w14:textId="3C418093" w:rsidR="00B67EA0" w:rsidRPr="008A41CD" w:rsidRDefault="00B67EA0" w:rsidP="00B67EA0">
            <w:pPr>
              <w:pStyle w:val="TableParagraph"/>
              <w:spacing w:before="1" w:line="271" w:lineRule="exact"/>
              <w:ind w:left="51"/>
              <w:rPr>
                <w:b/>
              </w:rPr>
            </w:pPr>
            <w:r w:rsidRPr="008A41CD">
              <w:rPr>
                <w:b/>
              </w:rPr>
              <w:t>Description</w:t>
            </w:r>
          </w:p>
        </w:tc>
        <w:tc>
          <w:tcPr>
            <w:tcW w:w="2835" w:type="dxa"/>
          </w:tcPr>
          <w:p w14:paraId="104A0C2F" w14:textId="0DE91403" w:rsidR="00B67EA0" w:rsidRPr="008A41CD" w:rsidRDefault="00B67EA0">
            <w:pPr>
              <w:pStyle w:val="TableParagraph"/>
              <w:spacing w:before="1" w:line="271" w:lineRule="exact"/>
              <w:ind w:left="547"/>
              <w:rPr>
                <w:b/>
              </w:rPr>
            </w:pPr>
            <w:r w:rsidRPr="008A41CD">
              <w:rPr>
                <w:b/>
              </w:rPr>
              <w:t>Characteristics</w:t>
            </w:r>
          </w:p>
        </w:tc>
        <w:tc>
          <w:tcPr>
            <w:tcW w:w="2410" w:type="dxa"/>
          </w:tcPr>
          <w:p w14:paraId="03C21A8E" w14:textId="60C1B561" w:rsidR="00B67EA0" w:rsidRPr="008A41CD" w:rsidRDefault="00B67EA0">
            <w:pPr>
              <w:pStyle w:val="TableParagraph"/>
              <w:spacing w:before="1" w:line="271" w:lineRule="exact"/>
              <w:ind w:left="320"/>
              <w:rPr>
                <w:b/>
              </w:rPr>
            </w:pPr>
            <w:r w:rsidRPr="008A41CD">
              <w:rPr>
                <w:b/>
              </w:rPr>
              <w:t>Objects</w:t>
            </w:r>
          </w:p>
        </w:tc>
        <w:tc>
          <w:tcPr>
            <w:tcW w:w="2126" w:type="dxa"/>
          </w:tcPr>
          <w:p w14:paraId="488164E5" w14:textId="4F5A4DF4" w:rsidR="00B67EA0" w:rsidRPr="008A41CD" w:rsidRDefault="00B67EA0">
            <w:pPr>
              <w:pStyle w:val="TableParagraph"/>
              <w:spacing w:before="1" w:line="271" w:lineRule="exact"/>
              <w:ind w:left="459"/>
              <w:rPr>
                <w:b/>
              </w:rPr>
            </w:pPr>
            <w:r w:rsidRPr="008A41CD">
              <w:rPr>
                <w:b/>
              </w:rPr>
              <w:t>Reasons</w:t>
            </w:r>
          </w:p>
        </w:tc>
      </w:tr>
      <w:tr w:rsidR="00B67EA0" w14:paraId="293FE715" w14:textId="77777777" w:rsidTr="008A41CD">
        <w:trPr>
          <w:trHeight w:val="1457"/>
        </w:trPr>
        <w:tc>
          <w:tcPr>
            <w:tcW w:w="1894" w:type="dxa"/>
          </w:tcPr>
          <w:p w14:paraId="0FACBA40" w14:textId="50B16CDF" w:rsidR="00B67EA0" w:rsidRPr="008A41CD" w:rsidRDefault="00B67EA0">
            <w:pPr>
              <w:pStyle w:val="TableParagraph"/>
              <w:spacing w:line="292" w:lineRule="exact"/>
              <w:ind w:right="442"/>
            </w:pPr>
            <w:r w:rsidRPr="008A41CD">
              <w:t>Gross Rental Value (GRV)</w:t>
            </w:r>
          </w:p>
        </w:tc>
        <w:tc>
          <w:tcPr>
            <w:tcW w:w="2835" w:type="dxa"/>
          </w:tcPr>
          <w:p w14:paraId="0BECE85C" w14:textId="7DEF23C9" w:rsidR="00B67EA0" w:rsidRPr="008A41CD" w:rsidRDefault="008A41CD">
            <w:pPr>
              <w:pStyle w:val="TableParagraph"/>
              <w:spacing w:line="292" w:lineRule="exact"/>
              <w:ind w:right="442"/>
            </w:pPr>
            <w:r w:rsidRPr="008A41CD">
              <w:t>All properties where the basis of rate is the Gross Rental Value (GRV)</w:t>
            </w:r>
          </w:p>
        </w:tc>
        <w:tc>
          <w:tcPr>
            <w:tcW w:w="2410" w:type="dxa"/>
          </w:tcPr>
          <w:p w14:paraId="6A8DDDF8" w14:textId="215C0858" w:rsidR="00B67EA0" w:rsidRPr="008A41CD" w:rsidRDefault="008A41CD" w:rsidP="00A73580">
            <w:pPr>
              <w:pStyle w:val="TableParagraph"/>
            </w:pPr>
            <w:r w:rsidRPr="008A41CD">
              <w:rPr>
                <w:spacing w:val="-2"/>
              </w:rPr>
              <w:t>This rate is to contribute to service desired by the community</w:t>
            </w:r>
            <w:r>
              <w:rPr>
                <w:spacing w:val="-2"/>
              </w:rPr>
              <w:t>.</w:t>
            </w:r>
          </w:p>
        </w:tc>
        <w:tc>
          <w:tcPr>
            <w:tcW w:w="2126" w:type="dxa"/>
          </w:tcPr>
          <w:p w14:paraId="74E250BA" w14:textId="68BFAC9E" w:rsidR="00B67EA0" w:rsidRPr="008A41CD" w:rsidRDefault="008A41CD" w:rsidP="00A73580">
            <w:pPr>
              <w:pStyle w:val="TableParagraph"/>
              <w:ind w:left="106"/>
            </w:pPr>
            <w:r w:rsidRPr="008A41CD">
              <w:rPr>
                <w:spacing w:val="-4"/>
              </w:rPr>
              <w:t>Uniform rate for all GRV properties</w:t>
            </w:r>
          </w:p>
        </w:tc>
      </w:tr>
      <w:tr w:rsidR="00B67EA0" w14:paraId="02BF83A6" w14:textId="77777777" w:rsidTr="008A41CD">
        <w:trPr>
          <w:trHeight w:val="873"/>
        </w:trPr>
        <w:tc>
          <w:tcPr>
            <w:tcW w:w="1894" w:type="dxa"/>
          </w:tcPr>
          <w:p w14:paraId="5AF13FF5" w14:textId="626B682F" w:rsidR="00B67EA0" w:rsidRPr="008A41CD" w:rsidRDefault="008A41CD">
            <w:pPr>
              <w:pStyle w:val="TableParagraph"/>
              <w:spacing w:line="292" w:lineRule="exact"/>
              <w:ind w:right="416"/>
            </w:pPr>
            <w:r w:rsidRPr="008A41CD">
              <w:t>Unimproved Value (UV) Rural</w:t>
            </w:r>
          </w:p>
        </w:tc>
        <w:tc>
          <w:tcPr>
            <w:tcW w:w="2835" w:type="dxa"/>
          </w:tcPr>
          <w:p w14:paraId="1390DFAE" w14:textId="3FA9204C" w:rsidR="00B67EA0" w:rsidRPr="008A41CD" w:rsidRDefault="008A41CD">
            <w:pPr>
              <w:pStyle w:val="TableParagraph"/>
              <w:spacing w:line="292" w:lineRule="exact"/>
              <w:ind w:right="416"/>
            </w:pPr>
            <w:r w:rsidRPr="008A41CD">
              <w:t>All properties where the basis of rate is the Unimproved Value (UV) and not within any other rating category.</w:t>
            </w:r>
          </w:p>
        </w:tc>
        <w:tc>
          <w:tcPr>
            <w:tcW w:w="2410" w:type="dxa"/>
          </w:tcPr>
          <w:p w14:paraId="6FA3ACD6" w14:textId="677C29CA" w:rsidR="00B67EA0" w:rsidRPr="008A41CD" w:rsidRDefault="008A41CD" w:rsidP="008A41CD">
            <w:pPr>
              <w:pStyle w:val="TableParagraph"/>
              <w:rPr>
                <w:spacing w:val="-2"/>
              </w:rPr>
            </w:pPr>
            <w:r w:rsidRPr="008A41CD">
              <w:rPr>
                <w:spacing w:val="-2"/>
              </w:rPr>
              <w:t>This rate contributes to the service desired by the community.</w:t>
            </w:r>
          </w:p>
        </w:tc>
        <w:tc>
          <w:tcPr>
            <w:tcW w:w="2126" w:type="dxa"/>
          </w:tcPr>
          <w:p w14:paraId="7880DD87" w14:textId="3720F577" w:rsidR="00B67EA0" w:rsidRPr="008A41CD" w:rsidRDefault="008A41CD" w:rsidP="008A41CD">
            <w:pPr>
              <w:pStyle w:val="TableParagraph"/>
              <w:ind w:left="106"/>
              <w:rPr>
                <w:spacing w:val="-4"/>
              </w:rPr>
            </w:pPr>
            <w:r w:rsidRPr="008A41CD">
              <w:rPr>
                <w:spacing w:val="-4"/>
              </w:rPr>
              <w:t>This is considered the base rate above which all other UV rated properties are assessed.</w:t>
            </w:r>
          </w:p>
        </w:tc>
      </w:tr>
      <w:tr w:rsidR="008A41CD" w14:paraId="3DE237FE" w14:textId="77777777" w:rsidTr="008A41CD">
        <w:trPr>
          <w:trHeight w:val="873"/>
        </w:trPr>
        <w:tc>
          <w:tcPr>
            <w:tcW w:w="1894" w:type="dxa"/>
          </w:tcPr>
          <w:p w14:paraId="49FCF371" w14:textId="59E38794" w:rsidR="008A41CD" w:rsidRPr="008A41CD" w:rsidRDefault="008A41CD">
            <w:pPr>
              <w:pStyle w:val="TableParagraph"/>
              <w:spacing w:line="292" w:lineRule="exact"/>
              <w:ind w:right="416"/>
              <w:rPr>
                <w:u w:val="single"/>
              </w:rPr>
            </w:pPr>
            <w:r w:rsidRPr="008A41CD">
              <w:t xml:space="preserve">Unimproved Value (UV) </w:t>
            </w:r>
            <w:r>
              <w:t>Mining</w:t>
            </w:r>
          </w:p>
        </w:tc>
        <w:tc>
          <w:tcPr>
            <w:tcW w:w="2835" w:type="dxa"/>
          </w:tcPr>
          <w:p w14:paraId="081408DA" w14:textId="2527CD14" w:rsidR="008A41CD" w:rsidRPr="008A41CD" w:rsidRDefault="008A41CD">
            <w:pPr>
              <w:pStyle w:val="TableParagraph"/>
              <w:spacing w:line="292" w:lineRule="exact"/>
              <w:ind w:right="416"/>
            </w:pPr>
            <w:r w:rsidRPr="008A41CD">
              <w:t>Properties where the basis of rate is the Unimproved Value (UV) and a land use associated with exploration/prospecting or mining leases/tenements.</w:t>
            </w:r>
          </w:p>
        </w:tc>
        <w:tc>
          <w:tcPr>
            <w:tcW w:w="2410" w:type="dxa"/>
          </w:tcPr>
          <w:p w14:paraId="03A43BA9" w14:textId="7B4F6A12" w:rsidR="008A41CD" w:rsidRPr="008A41CD" w:rsidRDefault="008A41CD" w:rsidP="008A41CD">
            <w:pPr>
              <w:pStyle w:val="TableParagraph"/>
              <w:rPr>
                <w:spacing w:val="-2"/>
              </w:rPr>
            </w:pPr>
            <w:r w:rsidRPr="008A41CD">
              <w:rPr>
                <w:spacing w:val="-2"/>
              </w:rPr>
              <w:t>The objective is to achieve an appropriate contribution from mining and exploration activities toward the budgeted deficiency</w:t>
            </w:r>
            <w:r>
              <w:rPr>
                <w:spacing w:val="-2"/>
              </w:rPr>
              <w:t>.</w:t>
            </w:r>
          </w:p>
        </w:tc>
        <w:tc>
          <w:tcPr>
            <w:tcW w:w="2126" w:type="dxa"/>
          </w:tcPr>
          <w:p w14:paraId="4E91792B" w14:textId="11E9A91D" w:rsidR="008A41CD" w:rsidRPr="008A41CD" w:rsidRDefault="008A41CD" w:rsidP="008A41CD">
            <w:pPr>
              <w:pStyle w:val="TableParagraph"/>
              <w:ind w:left="106"/>
              <w:rPr>
                <w:spacing w:val="-4"/>
              </w:rPr>
            </w:pPr>
            <w:r w:rsidRPr="008A41CD">
              <w:rPr>
                <w:spacing w:val="-4"/>
              </w:rPr>
              <w:t xml:space="preserve">Due to the difference in valuation methodology and </w:t>
            </w:r>
            <w:proofErr w:type="spellStart"/>
            <w:r w:rsidRPr="008A41CD">
              <w:rPr>
                <w:spacing w:val="-4"/>
              </w:rPr>
              <w:t>recognise</w:t>
            </w:r>
            <w:proofErr w:type="spellEnd"/>
            <w:r w:rsidRPr="008A41CD">
              <w:rPr>
                <w:spacing w:val="-4"/>
              </w:rPr>
              <w:t xml:space="preserve"> the impact of mining related activities on the Shire</w:t>
            </w:r>
            <w:r>
              <w:rPr>
                <w:spacing w:val="-4"/>
              </w:rPr>
              <w:t>.</w:t>
            </w:r>
          </w:p>
        </w:tc>
      </w:tr>
    </w:tbl>
    <w:p w14:paraId="02053AE6" w14:textId="1C40CE27" w:rsidR="00454785" w:rsidRDefault="0072698A">
      <w:pPr>
        <w:pStyle w:val="BodyText"/>
        <w:spacing w:before="159" w:line="259" w:lineRule="auto"/>
        <w:ind w:left="360" w:right="118"/>
        <w:jc w:val="both"/>
      </w:pPr>
      <w:r>
        <w:t>M</w:t>
      </w:r>
      <w:r w:rsidRPr="0072698A">
        <w:t xml:space="preserve">inimum </w:t>
      </w:r>
      <w:r w:rsidR="00544714">
        <w:t>payments</w:t>
      </w:r>
      <w:r w:rsidRPr="0072698A">
        <w:t xml:space="preserve"> </w:t>
      </w:r>
      <w:r w:rsidR="00454785">
        <w:t>are to be</w:t>
      </w:r>
      <w:r w:rsidRPr="0072698A">
        <w:t xml:space="preserve"> determined by Council on the basis that all ratepayers must make a reasonable contribution to the cost of local government services/facilities</w:t>
      </w:r>
      <w:r w:rsidR="00454785">
        <w:t>.</w:t>
      </w:r>
    </w:p>
    <w:p w14:paraId="4B0D0818" w14:textId="0B2E15C1" w:rsidR="00D74990" w:rsidRDefault="000735CB">
      <w:pPr>
        <w:pStyle w:val="BodyText"/>
        <w:spacing w:before="159" w:line="259" w:lineRule="auto"/>
        <w:ind w:left="360" w:right="118"/>
        <w:jc w:val="both"/>
      </w:pPr>
      <w:r>
        <w:t xml:space="preserve">Further information is </w:t>
      </w:r>
      <w:r w:rsidR="00A73580">
        <w:t>available from the Shire of Halls Creek:</w:t>
      </w:r>
    </w:p>
    <w:p w14:paraId="275E5DA1" w14:textId="44DD6BD7" w:rsidR="00D74990" w:rsidRDefault="00A73580" w:rsidP="000735CB">
      <w:pPr>
        <w:pStyle w:val="BodyText"/>
        <w:spacing w:before="160" w:line="259" w:lineRule="auto"/>
        <w:ind w:left="360" w:right="119"/>
        <w:jc w:val="both"/>
      </w:pPr>
      <w:r>
        <w:t>Main Office: 2 Halls Street, Halls Creek WA 6770 between 8.00am to 4.00pm Monday to Friday and</w:t>
      </w:r>
      <w:r w:rsidR="000735CB">
        <w:t xml:space="preserve"> </w:t>
      </w:r>
      <w:r>
        <w:t>via</w:t>
      </w:r>
      <w:r>
        <w:rPr>
          <w:spacing w:val="-5"/>
        </w:rPr>
        <w:t xml:space="preserve"> </w:t>
      </w:r>
      <w:r>
        <w:t>telephone</w:t>
      </w:r>
      <w:r>
        <w:rPr>
          <w:spacing w:val="-5"/>
        </w:rPr>
        <w:t xml:space="preserve"> on</w:t>
      </w:r>
      <w:r w:rsidR="000735CB">
        <w:rPr>
          <w:spacing w:val="-5"/>
        </w:rPr>
        <w:t xml:space="preserve"> </w:t>
      </w:r>
      <w:r>
        <w:t>(08)</w:t>
      </w:r>
      <w:r>
        <w:rPr>
          <w:spacing w:val="-4"/>
        </w:rPr>
        <w:t xml:space="preserve"> </w:t>
      </w:r>
      <w:r>
        <w:t>9168</w:t>
      </w:r>
      <w:r>
        <w:rPr>
          <w:spacing w:val="-2"/>
        </w:rPr>
        <w:t xml:space="preserve"> 6007.</w:t>
      </w:r>
    </w:p>
    <w:p w14:paraId="69F44FBD" w14:textId="77777777" w:rsidR="00D74990" w:rsidRDefault="00D74990">
      <w:pPr>
        <w:pStyle w:val="BodyText"/>
        <w:spacing w:before="110"/>
      </w:pPr>
    </w:p>
    <w:p w14:paraId="5CA3FBD2" w14:textId="77777777" w:rsidR="00D74990" w:rsidRDefault="00A73580">
      <w:pPr>
        <w:ind w:left="360"/>
        <w:rPr>
          <w:b/>
          <w:spacing w:val="-2"/>
          <w:sz w:val="24"/>
        </w:rPr>
      </w:pPr>
      <w:r>
        <w:rPr>
          <w:b/>
          <w:sz w:val="24"/>
        </w:rPr>
        <w:t>Musa</w:t>
      </w:r>
      <w:r>
        <w:rPr>
          <w:b/>
          <w:spacing w:val="-2"/>
          <w:sz w:val="24"/>
        </w:rPr>
        <w:t xml:space="preserve"> </w:t>
      </w:r>
      <w:r>
        <w:rPr>
          <w:b/>
          <w:sz w:val="24"/>
        </w:rPr>
        <w:t>Mono</w:t>
      </w:r>
      <w:r>
        <w:rPr>
          <w:b/>
          <w:spacing w:val="-3"/>
          <w:sz w:val="24"/>
        </w:rPr>
        <w:t xml:space="preserve"> </w:t>
      </w:r>
      <w:r>
        <w:rPr>
          <w:b/>
          <w:sz w:val="24"/>
        </w:rPr>
        <w:t>-</w:t>
      </w:r>
      <w:r>
        <w:rPr>
          <w:b/>
          <w:spacing w:val="-2"/>
          <w:sz w:val="24"/>
        </w:rPr>
        <w:t xml:space="preserve"> </w:t>
      </w:r>
      <w:r>
        <w:rPr>
          <w:b/>
          <w:sz w:val="24"/>
        </w:rPr>
        <w:t>Acting</w:t>
      </w:r>
      <w:r>
        <w:rPr>
          <w:b/>
          <w:spacing w:val="-3"/>
          <w:sz w:val="24"/>
        </w:rPr>
        <w:t xml:space="preserve"> </w:t>
      </w:r>
      <w:r>
        <w:rPr>
          <w:b/>
          <w:sz w:val="24"/>
        </w:rPr>
        <w:t>Chief</w:t>
      </w:r>
      <w:r>
        <w:rPr>
          <w:b/>
          <w:spacing w:val="-2"/>
          <w:sz w:val="24"/>
        </w:rPr>
        <w:t xml:space="preserve"> </w:t>
      </w:r>
      <w:r>
        <w:rPr>
          <w:b/>
          <w:sz w:val="24"/>
        </w:rPr>
        <w:t>Executive</w:t>
      </w:r>
      <w:r>
        <w:rPr>
          <w:b/>
          <w:spacing w:val="-2"/>
          <w:sz w:val="24"/>
        </w:rPr>
        <w:t xml:space="preserve"> Officer</w:t>
      </w:r>
    </w:p>
    <w:p w14:paraId="24FA199F" w14:textId="592024C1" w:rsidR="00302B02" w:rsidRPr="00302B02" w:rsidRDefault="00302B02">
      <w:pPr>
        <w:ind w:left="360"/>
        <w:rPr>
          <w:bCs/>
          <w:sz w:val="20"/>
          <w:szCs w:val="20"/>
        </w:rPr>
      </w:pPr>
      <w:r w:rsidRPr="00302B02">
        <w:rPr>
          <w:bCs/>
          <w:spacing w:val="-2"/>
          <w:sz w:val="20"/>
          <w:szCs w:val="20"/>
        </w:rPr>
        <w:t>23/04/2024</w:t>
      </w:r>
    </w:p>
    <w:sectPr w:rsidR="00302B02" w:rsidRPr="00302B02">
      <w:type w:val="continuous"/>
      <w:pgSz w:w="11910" w:h="16840"/>
      <w:pgMar w:top="1340" w:right="13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90"/>
    <w:rsid w:val="000735CB"/>
    <w:rsid w:val="00191D92"/>
    <w:rsid w:val="00302B02"/>
    <w:rsid w:val="00454785"/>
    <w:rsid w:val="004A37B4"/>
    <w:rsid w:val="00544714"/>
    <w:rsid w:val="00722925"/>
    <w:rsid w:val="0072698A"/>
    <w:rsid w:val="008026A4"/>
    <w:rsid w:val="008A41CD"/>
    <w:rsid w:val="008E20BB"/>
    <w:rsid w:val="00A73580"/>
    <w:rsid w:val="00B67EA0"/>
    <w:rsid w:val="00D7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57D7"/>
  <w15:docId w15:val="{F8402FFD-AA04-41C8-B0B0-5D3952E3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3959" w:right="713" w:hanging="7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Hayes</dc:creator>
  <dc:description/>
  <cp:lastModifiedBy>Musa Mono</cp:lastModifiedBy>
  <cp:revision>2</cp:revision>
  <cp:lastPrinted>2024-04-18T02:56:00Z</cp:lastPrinted>
  <dcterms:created xsi:type="dcterms:W3CDTF">2024-04-23T01:52:00Z</dcterms:created>
  <dcterms:modified xsi:type="dcterms:W3CDTF">2024-04-23T01:52:00Z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Acrobat PDFMaker 23 for Word</vt:lpwstr>
  </property>
  <property fmtid="{D5CDD505-2E9C-101B-9397-08002B2CF9AE}" pid="4" name="LastSaved">
    <vt:filetime>2024-04-18T00:00:00Z</vt:filetime>
  </property>
  <property fmtid="{D5CDD505-2E9C-101B-9397-08002B2CF9AE}" pid="5" name="Producer">
    <vt:lpwstr>Adobe PDF Library 23.8.246</vt:lpwstr>
  </property>
  <property fmtid="{D5CDD505-2E9C-101B-9397-08002B2CF9AE}" pid="6" name="SourceModified">
    <vt:lpwstr>D:20240129093512</vt:lpwstr>
  </property>
  <property fmtid="{D5CDD505-2E9C-101B-9397-08002B2CF9AE}" pid="7" name="SynergySoftUID">
    <vt:lpwstr>K44473D00</vt:lpwstr>
  </property>
</Properties>
</file>